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419D6">
      <w:pPr>
        <w:spacing w:before="148" w:line="224" w:lineRule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附件</w:t>
      </w:r>
      <w:r>
        <w:rPr>
          <w:rFonts w:hint="eastAsia" w:ascii="黑体" w:hAnsi="黑体" w:eastAsia="黑体" w:cs="黑体"/>
          <w:b/>
          <w:bCs/>
          <w:spacing w:val="13"/>
          <w:sz w:val="30"/>
          <w:szCs w:val="30"/>
          <w:lang w:val="en-US" w:eastAsia="zh-CN"/>
        </w:rPr>
        <w:t>2</w:t>
      </w:r>
      <w:bookmarkStart w:id="0" w:name="_GoBack"/>
      <w:bookmarkEnd w:id="0"/>
    </w:p>
    <w:p w14:paraId="25885D7C">
      <w:pPr>
        <w:spacing w:line="323" w:lineRule="auto"/>
        <w:rPr>
          <w:rFonts w:ascii="Arial"/>
          <w:sz w:val="21"/>
        </w:rPr>
      </w:pPr>
    </w:p>
    <w:p w14:paraId="6E36C5E5">
      <w:pPr>
        <w:pStyle w:val="2"/>
        <w:spacing w:before="130" w:line="218" w:lineRule="auto"/>
        <w:jc w:val="center"/>
        <w:outlineLvl w:val="0"/>
        <w:rPr>
          <w:sz w:val="40"/>
          <w:szCs w:val="40"/>
        </w:rPr>
      </w:pPr>
      <w:r>
        <w:rPr>
          <w:spacing w:val="-2"/>
          <w:sz w:val="40"/>
          <w:szCs w:val="40"/>
        </w:rPr>
        <w:t>公共管理案例大赛评分标准</w:t>
      </w:r>
    </w:p>
    <w:p w14:paraId="190DBEC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after="0" w:afterLines="50" w:line="224" w:lineRule="auto"/>
        <w:textAlignment w:val="baseline"/>
        <w:rPr>
          <w:rFonts w:hint="eastAsia"/>
          <w:spacing w:val="-2"/>
          <w:lang w:val="en-US" w:eastAsia="zh-CN"/>
        </w:rPr>
      </w:pPr>
    </w:p>
    <w:p w14:paraId="62311E5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after="0" w:afterLines="50" w:line="224" w:lineRule="auto"/>
        <w:ind w:firstLine="474" w:firstLineChars="200"/>
        <w:textAlignment w:val="baseline"/>
        <w:rPr>
          <w:rFonts w:hint="default" w:ascii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pacing w:val="-2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pacing w:val="-2"/>
          <w:sz w:val="24"/>
          <w:szCs w:val="24"/>
        </w:rPr>
        <w:t>.初赛</w:t>
      </w:r>
      <w:r>
        <w:rPr>
          <w:rFonts w:hint="eastAsia" w:ascii="Times New Roman" w:hAnsi="Times New Roman" w:cs="Times New Roman"/>
          <w:b/>
          <w:bCs/>
          <w:spacing w:val="-2"/>
          <w:sz w:val="24"/>
          <w:szCs w:val="24"/>
          <w:lang w:val="en-US" w:eastAsia="zh-CN"/>
        </w:rPr>
        <w:t>阶段</w:t>
      </w:r>
      <w:r>
        <w:rPr>
          <w:rFonts w:hint="default" w:ascii="Times New Roman" w:hAnsi="Times New Roman" w:cs="Times New Roman"/>
          <w:b/>
          <w:bCs/>
          <w:spacing w:val="-2"/>
          <w:sz w:val="24"/>
          <w:szCs w:val="24"/>
        </w:rPr>
        <w:t>评分标准</w:t>
      </w:r>
    </w:p>
    <w:tbl>
      <w:tblPr>
        <w:tblStyle w:val="6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2040"/>
        <w:gridCol w:w="4520"/>
        <w:gridCol w:w="895"/>
      </w:tblGrid>
      <w:tr w14:paraId="61D99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7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F745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案例（满分100分，其中案例正文60分和案例分析报告40分）</w:t>
            </w:r>
          </w:p>
        </w:tc>
      </w:tr>
      <w:tr w14:paraId="714C2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7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4DC9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bidi="ar"/>
              </w:rPr>
              <w:t>第一部分 案例正文（满分60分）</w:t>
            </w:r>
          </w:p>
        </w:tc>
      </w:tr>
      <w:tr w14:paraId="4D094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9CE2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指标序号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E3CD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评价内容</w:t>
            </w:r>
          </w:p>
        </w:tc>
        <w:tc>
          <w:tcPr>
            <w:tcW w:w="4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0BFA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  <w:t>优秀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标准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ACE0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  <w:t>满分</w:t>
            </w:r>
          </w:p>
        </w:tc>
      </w:tr>
      <w:tr w14:paraId="44AB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8262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E59D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案例来源和选题</w:t>
            </w:r>
          </w:p>
        </w:tc>
        <w:tc>
          <w:tcPr>
            <w:tcW w:w="4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B99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选题紧密联系我国公共管理实践中的重大问题，具有典型性，意义重大，材料以作者实地调研获得的一手资料为主；内容充实。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A24E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20</w:t>
            </w:r>
          </w:p>
        </w:tc>
      </w:tr>
      <w:tr w14:paraId="7592B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8BAA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B121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案例主题</w:t>
            </w:r>
          </w:p>
        </w:tc>
        <w:tc>
          <w:tcPr>
            <w:tcW w:w="4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BAC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谋篇布局合理；起承转合分明；内容丰富，事件发展和冲突描述清晰。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7EDB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</w:t>
            </w:r>
          </w:p>
        </w:tc>
      </w:tr>
      <w:tr w14:paraId="2E12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0625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7F2F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文本质量</w:t>
            </w:r>
          </w:p>
        </w:tc>
        <w:tc>
          <w:tcPr>
            <w:tcW w:w="4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737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文本规范，语言生动，条例清晰，可读性强，摘要精炼，结语富有启发性，能引发深刻思考。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BE1A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10</w:t>
            </w:r>
          </w:p>
        </w:tc>
      </w:tr>
      <w:tr w14:paraId="3C0BA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7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D0F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bidi="ar"/>
              </w:rPr>
              <w:t>第二部分 案例分析报告（满分40分）</w:t>
            </w:r>
          </w:p>
        </w:tc>
      </w:tr>
      <w:tr w14:paraId="5EE42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0462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指标序号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C644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评价内容</w:t>
            </w:r>
          </w:p>
        </w:tc>
        <w:tc>
          <w:tcPr>
            <w:tcW w:w="4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17F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  <w:t>优秀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标准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9B02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14:paraId="36E6F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3070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4CC1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理论应用、分析水平、对策可行性</w:t>
            </w:r>
          </w:p>
        </w:tc>
        <w:tc>
          <w:tcPr>
            <w:tcW w:w="4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74F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使用的公共管理理论和工具准确、合理；有恰当的分析框架，逻辑性强；分析深刻且准确；建议具有针对性、可行性和创新性。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E422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40</w:t>
            </w:r>
          </w:p>
        </w:tc>
      </w:tr>
      <w:tr w14:paraId="64472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7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5A62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调研报告（满分100分，独立计分）</w:t>
            </w:r>
          </w:p>
        </w:tc>
      </w:tr>
      <w:tr w14:paraId="36AB9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9B68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  <w:t>指标序号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F62A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  <w:t>评价内容</w:t>
            </w:r>
          </w:p>
        </w:tc>
        <w:tc>
          <w:tcPr>
            <w:tcW w:w="5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7E5C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  <w:t>优秀标准</w:t>
            </w:r>
          </w:p>
        </w:tc>
      </w:tr>
      <w:tr w14:paraId="67868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0D8C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39D4E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 w:bidi="ar"/>
              </w:rPr>
              <w:t>调研报告</w:t>
            </w:r>
          </w:p>
        </w:tc>
        <w:tc>
          <w:tcPr>
            <w:tcW w:w="54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1BB4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调研报告论点鲜明、方法科学、分析全面、逻辑严密、数据可靠、结论明确，具有一定的学术价值和实践意义，能够提出解决实际问题的对策建议或经验模式，能够为公共部门制定完善相关政策提供参考。文本规范，文字精炼。</w:t>
            </w:r>
          </w:p>
        </w:tc>
      </w:tr>
    </w:tbl>
    <w:p w14:paraId="39A7A40D">
      <w:pPr>
        <w:spacing w:before="168"/>
      </w:pPr>
    </w:p>
    <w:p w14:paraId="777992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392" w:lineRule="auto"/>
        <w:textAlignment w:val="baseline"/>
        <w:rPr>
          <w:rFonts w:ascii="Arial"/>
          <w:sz w:val="21"/>
        </w:rPr>
      </w:pPr>
    </w:p>
    <w:p w14:paraId="3368F32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after="0" w:afterLines="50" w:line="222" w:lineRule="auto"/>
        <w:ind w:firstLine="464" w:firstLineChars="200"/>
        <w:textAlignment w:val="baseline"/>
        <w:rPr>
          <w:rFonts w:hint="eastAsia"/>
          <w:spacing w:val="-4"/>
          <w:highlight w:val="none"/>
          <w:lang w:val="en-US" w:eastAsia="zh-CN"/>
        </w:rPr>
      </w:pPr>
    </w:p>
    <w:p w14:paraId="26AA662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after="0" w:afterLines="50" w:line="222" w:lineRule="auto"/>
        <w:ind w:firstLine="466" w:firstLineChars="200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spacing w:val="-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pacing w:val="-4"/>
          <w:highlight w:val="none"/>
        </w:rPr>
        <w:t>.</w:t>
      </w:r>
      <w:r>
        <w:rPr>
          <w:b/>
          <w:bCs/>
          <w:spacing w:val="-4"/>
          <w:highlight w:val="none"/>
        </w:rPr>
        <w:t>复赛阶段评分标准（</w:t>
      </w:r>
      <w:r>
        <w:rPr>
          <w:rFonts w:hint="eastAsia"/>
          <w:b/>
          <w:bCs/>
          <w:spacing w:val="-4"/>
          <w:highlight w:val="none"/>
          <w:lang w:val="en-US" w:eastAsia="zh-CN"/>
        </w:rPr>
        <w:t>满</w:t>
      </w:r>
      <w:r>
        <w:rPr>
          <w:b/>
          <w:bCs/>
          <w:spacing w:val="-4"/>
          <w:highlight w:val="none"/>
        </w:rPr>
        <w:t>分</w:t>
      </w:r>
      <w:r>
        <w:rPr>
          <w:rFonts w:hint="default" w:ascii="Times New Roman" w:hAnsi="Times New Roman" w:cs="Times New Roman"/>
          <w:b/>
          <w:bCs/>
          <w:spacing w:val="-4"/>
          <w:sz w:val="24"/>
          <w:szCs w:val="24"/>
          <w:highlight w:val="none"/>
        </w:rPr>
        <w:t>100</w:t>
      </w:r>
      <w:r>
        <w:rPr>
          <w:rFonts w:hint="default" w:ascii="Times New Roman" w:hAnsi="Times New Roman" w:cs="Times New Roman"/>
          <w:b/>
          <w:bCs/>
          <w:spacing w:val="-42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4"/>
          <w:sz w:val="24"/>
          <w:szCs w:val="24"/>
          <w:highlight w:val="none"/>
        </w:rPr>
        <w:t>分</w:t>
      </w:r>
      <w:r>
        <w:rPr>
          <w:rFonts w:hint="default" w:ascii="Times New Roman" w:hAnsi="Times New Roman" w:cs="Times New Roman"/>
          <w:b/>
          <w:bCs/>
          <w:spacing w:val="4"/>
          <w:sz w:val="24"/>
          <w:szCs w:val="24"/>
          <w:highlight w:val="none"/>
        </w:rPr>
        <w:t>）</w:t>
      </w:r>
    </w:p>
    <w:tbl>
      <w:tblPr>
        <w:tblStyle w:val="6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908"/>
        <w:gridCol w:w="3585"/>
        <w:gridCol w:w="887"/>
      </w:tblGrid>
      <w:tr w14:paraId="6F435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A1A7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评分项目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3BE2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评分点</w:t>
            </w:r>
          </w:p>
        </w:tc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94E4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评分标准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989B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满分</w:t>
            </w:r>
          </w:p>
        </w:tc>
      </w:tr>
      <w:tr w14:paraId="0FEB9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6525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案例采编及分析质量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6D5A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案例选题及描述</w:t>
            </w:r>
          </w:p>
        </w:tc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5E43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选题重要，现实意义强，典型性高；谋篇布局合理，重点突出，叙述清晰，描述生动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15C5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20</w:t>
            </w:r>
          </w:p>
        </w:tc>
      </w:tr>
      <w:tr w14:paraId="110D5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A5A0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6626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案例分析及对策</w:t>
            </w:r>
          </w:p>
        </w:tc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290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理论准确，方法科学，分析深入，逻辑严密，站位高远，对策可行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0BC6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20</w:t>
            </w:r>
          </w:p>
        </w:tc>
      </w:tr>
      <w:tr w14:paraId="20F17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EF04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专业水平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96EC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提问能力</w:t>
            </w:r>
          </w:p>
        </w:tc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9C3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提出的问题具有一定深度和专业性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43AB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10</w:t>
            </w:r>
          </w:p>
        </w:tc>
      </w:tr>
      <w:tr w14:paraId="33BA9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51B0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6AFC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应答能力</w:t>
            </w:r>
          </w:p>
        </w:tc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317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冷静、迅速回答问题，思路清晰，逻辑严谨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6600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15</w:t>
            </w:r>
          </w:p>
        </w:tc>
      </w:tr>
      <w:tr w14:paraId="72DFA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FAE5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62CD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专业分析能力</w:t>
            </w:r>
          </w:p>
        </w:tc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5C98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在发言中准确、 灵活运用公共管理知识、理论和方法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97E2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15</w:t>
            </w:r>
          </w:p>
        </w:tc>
      </w:tr>
      <w:tr w14:paraId="29465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B768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比赛表现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EE79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语言表达能力</w:t>
            </w:r>
          </w:p>
        </w:tc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90A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口齿清晰，简明扼要，重点突出，自信大方，合理运用身体语言、感染力强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4772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10</w:t>
            </w:r>
          </w:p>
        </w:tc>
      </w:tr>
      <w:tr w14:paraId="4DE62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F4FE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C9DF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PPT制作水平</w:t>
            </w:r>
          </w:p>
        </w:tc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B8B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详略得当，重点突出，美观新颖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3CCE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5</w:t>
            </w:r>
          </w:p>
        </w:tc>
      </w:tr>
      <w:tr w14:paraId="6F027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3735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D158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团队合作</w:t>
            </w:r>
          </w:p>
        </w:tc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561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分工明确，相互呼应，配合默契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0138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5</w:t>
            </w:r>
          </w:p>
        </w:tc>
      </w:tr>
    </w:tbl>
    <w:p w14:paraId="22965043">
      <w:pPr>
        <w:pStyle w:val="2"/>
        <w:spacing w:before="148" w:line="222" w:lineRule="auto"/>
        <w:ind w:firstLine="468" w:firstLineChars="200"/>
        <w:rPr>
          <w:rFonts w:hint="eastAsia" w:ascii="Times New Roman" w:hAnsi="Times New Roman" w:cs="Times New Roman"/>
          <w:spacing w:val="-3"/>
          <w:sz w:val="24"/>
          <w:szCs w:val="24"/>
          <w:highlight w:val="none"/>
          <w:lang w:val="en-US" w:eastAsia="zh-CN"/>
        </w:rPr>
      </w:pPr>
    </w:p>
    <w:p w14:paraId="75C5B8FA">
      <w:pPr>
        <w:pStyle w:val="2"/>
        <w:spacing w:before="148" w:line="222" w:lineRule="auto"/>
        <w:ind w:firstLine="470" w:firstLineChars="200"/>
        <w:rPr>
          <w:rFonts w:hint="default" w:ascii="Times New Roman" w:hAnsi="Times New Roman" w:cs="Times New Roman"/>
          <w:b/>
          <w:bCs/>
          <w:spacing w:val="-3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spacing w:val="-3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pacing w:val="-3"/>
          <w:sz w:val="24"/>
          <w:szCs w:val="24"/>
          <w:highlight w:val="none"/>
        </w:rPr>
        <w:t>.决赛阶段评分标准(</w:t>
      </w:r>
      <w:r>
        <w:rPr>
          <w:rFonts w:hint="default" w:ascii="Times New Roman" w:hAnsi="Times New Roman" w:cs="Times New Roman"/>
          <w:b/>
          <w:bCs/>
          <w:spacing w:val="-3"/>
          <w:sz w:val="24"/>
          <w:szCs w:val="24"/>
          <w:highlight w:val="none"/>
          <w:lang w:val="en-US" w:eastAsia="zh-CN"/>
        </w:rPr>
        <w:t>满</w:t>
      </w:r>
      <w:r>
        <w:rPr>
          <w:rFonts w:hint="default" w:ascii="Times New Roman" w:hAnsi="Times New Roman" w:cs="Times New Roman"/>
          <w:b/>
          <w:bCs/>
          <w:spacing w:val="-3"/>
          <w:sz w:val="24"/>
          <w:szCs w:val="24"/>
          <w:highlight w:val="none"/>
        </w:rPr>
        <w:t>分100</w:t>
      </w:r>
      <w:r>
        <w:rPr>
          <w:rFonts w:hint="default" w:ascii="Times New Roman" w:hAnsi="Times New Roman" w:cs="Times New Roman"/>
          <w:b/>
          <w:bCs/>
          <w:spacing w:val="-41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3"/>
          <w:sz w:val="24"/>
          <w:szCs w:val="24"/>
          <w:highlight w:val="none"/>
        </w:rPr>
        <w:t>分)</w:t>
      </w:r>
    </w:p>
    <w:p w14:paraId="5BE88E6B">
      <w:pPr>
        <w:pStyle w:val="2"/>
        <w:spacing w:before="148" w:line="222" w:lineRule="auto"/>
        <w:ind w:firstLine="470" w:firstLineChars="200"/>
        <w:rPr>
          <w:rFonts w:hint="default" w:ascii="Times New Roman" w:hAnsi="Times New Roman" w:cs="Times New Roman"/>
          <w:b/>
          <w:bCs/>
          <w:spacing w:val="-3"/>
          <w:sz w:val="24"/>
          <w:szCs w:val="24"/>
          <w:highlight w:val="none"/>
        </w:rPr>
      </w:pPr>
    </w:p>
    <w:p w14:paraId="13BAB474">
      <w:pPr>
        <w:jc w:val="center"/>
        <w:rPr>
          <w:rFonts w:hint="default" w:ascii="Times New Roman" w:hAnsi="Times New Roman" w:eastAsia="仿宋" w:cs="Times New Roman"/>
          <w:b/>
          <w:sz w:val="24"/>
          <w:szCs w:val="24"/>
        </w:rPr>
      </w:pPr>
      <w:r>
        <w:rPr>
          <w:rFonts w:hint="eastAsia" w:ascii="Times New Roman" w:hAnsi="Times New Roman" w:eastAsia="仿宋" w:cs="Times New Roman"/>
          <w:b/>
          <w:w w:val="95"/>
          <w:sz w:val="24"/>
          <w:szCs w:val="24"/>
          <w:lang w:val="en-US" w:eastAsia="zh-CN" w:bidi="ar"/>
        </w:rPr>
        <w:t>3</w:t>
      </w:r>
      <w:r>
        <w:rPr>
          <w:rFonts w:hint="default" w:ascii="Times New Roman" w:hAnsi="Times New Roman" w:eastAsia="仿宋" w:cs="Times New Roman"/>
          <w:b/>
          <w:w w:val="95"/>
          <w:sz w:val="24"/>
          <w:szCs w:val="24"/>
          <w:lang w:val="en-US" w:eastAsia="zh-CN" w:bidi="ar"/>
        </w:rPr>
        <w:t xml:space="preserve">.1 </w:t>
      </w:r>
      <w:r>
        <w:rPr>
          <w:rFonts w:hint="default" w:ascii="Times New Roman" w:hAnsi="Times New Roman" w:eastAsia="仿宋" w:cs="Times New Roman"/>
          <w:b/>
          <w:w w:val="95"/>
          <w:sz w:val="24"/>
          <w:szCs w:val="24"/>
          <w:lang w:bidi="ar"/>
        </w:rPr>
        <w:t>决赛文本评分表</w:t>
      </w:r>
      <w:r>
        <w:rPr>
          <w:rFonts w:hint="eastAsia" w:ascii="Times New Roman" w:hAnsi="Times New Roman" w:eastAsia="仿宋" w:cs="Times New Roman"/>
          <w:b/>
          <w:w w:val="95"/>
          <w:sz w:val="24"/>
          <w:szCs w:val="24"/>
          <w:lang w:eastAsia="zh-CN" w:bidi="ar"/>
        </w:rPr>
        <w:t>（</w:t>
      </w:r>
      <w:r>
        <w:rPr>
          <w:rFonts w:hint="default" w:ascii="Times New Roman" w:hAnsi="Times New Roman" w:eastAsia="仿宋" w:cs="Times New Roman"/>
          <w:b/>
          <w:sz w:val="24"/>
          <w:szCs w:val="24"/>
          <w:lang w:bidi="ar"/>
        </w:rPr>
        <w:t>满分100分，权重40%</w:t>
      </w:r>
      <w:r>
        <w:rPr>
          <w:rFonts w:hint="eastAsia" w:ascii="Times New Roman" w:hAnsi="Times New Roman" w:eastAsia="仿宋" w:cs="Times New Roman"/>
          <w:b/>
          <w:w w:val="95"/>
          <w:sz w:val="24"/>
          <w:szCs w:val="24"/>
          <w:lang w:eastAsia="zh-CN" w:bidi="ar"/>
        </w:rPr>
        <w:t>）</w:t>
      </w:r>
    </w:p>
    <w:p w14:paraId="6C711D01">
      <w:pPr>
        <w:ind w:firstLine="964" w:firstLineChars="400"/>
        <w:rPr>
          <w:rFonts w:hint="default" w:ascii="Times New Roman" w:hAnsi="Times New Roman" w:eastAsia="仿宋" w:cs="Times New Roman"/>
          <w:b/>
          <w:sz w:val="24"/>
          <w:szCs w:val="24"/>
        </w:rPr>
      </w:pPr>
    </w:p>
    <w:tbl>
      <w:tblPr>
        <w:tblStyle w:val="6"/>
        <w:tblW w:w="8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2147"/>
        <w:gridCol w:w="4236"/>
        <w:gridCol w:w="1097"/>
      </w:tblGrid>
      <w:tr w14:paraId="2FEA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7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A9D7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案例分析报告</w:t>
            </w:r>
          </w:p>
        </w:tc>
      </w:tr>
      <w:tr w14:paraId="6F40F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E94A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指标序号</w:t>
            </w:r>
          </w:p>
        </w:tc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6FE0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评价内容</w:t>
            </w:r>
          </w:p>
        </w:tc>
        <w:tc>
          <w:tcPr>
            <w:tcW w:w="4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387B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评分标准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1757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满分</w:t>
            </w:r>
          </w:p>
        </w:tc>
      </w:tr>
      <w:tr w14:paraId="2B2FE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249B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1</w:t>
            </w:r>
          </w:p>
        </w:tc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4155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理论明确合理</w:t>
            </w:r>
          </w:p>
        </w:tc>
        <w:tc>
          <w:tcPr>
            <w:tcW w:w="4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EC68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案例分析所使用的公共管理理论和工具明确且合理。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D9D0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25</w:t>
            </w:r>
          </w:p>
        </w:tc>
      </w:tr>
      <w:tr w14:paraId="78DC8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1E2D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2</w:t>
            </w:r>
          </w:p>
        </w:tc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7D5D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思路清晰严谨</w:t>
            </w:r>
          </w:p>
        </w:tc>
        <w:tc>
          <w:tcPr>
            <w:tcW w:w="4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D49B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有恰当的分析框架，结构十分严谨，逻辑性很强。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09EA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25</w:t>
            </w:r>
          </w:p>
        </w:tc>
      </w:tr>
      <w:tr w14:paraId="214F4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2CBE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3</w:t>
            </w:r>
          </w:p>
        </w:tc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73F1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分析系统科学</w:t>
            </w:r>
          </w:p>
        </w:tc>
        <w:tc>
          <w:tcPr>
            <w:tcW w:w="4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12D2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全面系统的分析相关背景、决策要素和政策影响。分析深刻且准确。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0788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25</w:t>
            </w:r>
          </w:p>
        </w:tc>
      </w:tr>
      <w:tr w14:paraId="3AF9F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A0EC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4</w:t>
            </w:r>
          </w:p>
        </w:tc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7DFC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对策创新可行</w:t>
            </w:r>
          </w:p>
        </w:tc>
        <w:tc>
          <w:tcPr>
            <w:tcW w:w="4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3E84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提出的政策或建议有针对性、可操作性和创新性。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392A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25</w:t>
            </w:r>
          </w:p>
        </w:tc>
      </w:tr>
    </w:tbl>
    <w:p w14:paraId="48C4881C">
      <w:pPr>
        <w:pStyle w:val="2"/>
        <w:spacing w:before="148" w:line="222" w:lineRule="auto"/>
        <w:ind w:left="471" w:firstLine="468" w:firstLineChars="200"/>
        <w:rPr>
          <w:rFonts w:hint="default" w:ascii="Times New Roman" w:hAnsi="Times New Roman" w:eastAsia="仿宋" w:cs="Times New Roman"/>
          <w:spacing w:val="-3"/>
          <w:sz w:val="24"/>
          <w:szCs w:val="24"/>
          <w:highlight w:val="none"/>
        </w:rPr>
      </w:pPr>
    </w:p>
    <w:p w14:paraId="6F4E3715">
      <w:pPr>
        <w:jc w:val="center"/>
        <w:rPr>
          <w:rFonts w:hint="default" w:ascii="Times New Roman" w:hAnsi="Times New Roman" w:eastAsia="仿宋" w:cs="Times New Roman"/>
          <w:b/>
          <w:sz w:val="24"/>
          <w:szCs w:val="24"/>
        </w:rPr>
      </w:pPr>
      <w:r>
        <w:rPr>
          <w:rFonts w:hint="eastAsia" w:ascii="Times New Roman" w:hAnsi="Times New Roman" w:eastAsia="仿宋" w:cs="Times New Roman"/>
          <w:b/>
          <w:w w:val="95"/>
          <w:sz w:val="24"/>
          <w:szCs w:val="24"/>
          <w:lang w:val="en-US" w:eastAsia="zh-CN" w:bidi="ar"/>
        </w:rPr>
        <w:t>3</w:t>
      </w:r>
      <w:r>
        <w:rPr>
          <w:rFonts w:hint="default" w:ascii="Times New Roman" w:hAnsi="Times New Roman" w:eastAsia="仿宋" w:cs="Times New Roman"/>
          <w:b/>
          <w:w w:val="95"/>
          <w:sz w:val="24"/>
          <w:szCs w:val="24"/>
          <w:lang w:val="en-US" w:eastAsia="zh-CN" w:bidi="ar"/>
        </w:rPr>
        <w:t xml:space="preserve">.2 </w:t>
      </w:r>
      <w:r>
        <w:rPr>
          <w:rFonts w:hint="default" w:ascii="Times New Roman" w:hAnsi="Times New Roman" w:eastAsia="仿宋" w:cs="Times New Roman"/>
          <w:b/>
          <w:sz w:val="24"/>
          <w:szCs w:val="24"/>
          <w:lang w:bidi="ar"/>
        </w:rPr>
        <w:t>决赛现场评分表</w:t>
      </w:r>
      <w:r>
        <w:rPr>
          <w:rFonts w:hint="eastAsia" w:ascii="Times New Roman" w:hAnsi="Times New Roman" w:eastAsia="仿宋" w:cs="Times New Roman"/>
          <w:b/>
          <w:sz w:val="24"/>
          <w:szCs w:val="24"/>
          <w:lang w:eastAsia="zh-CN" w:bidi="ar"/>
        </w:rPr>
        <w:t>（</w:t>
      </w:r>
      <w:r>
        <w:rPr>
          <w:rFonts w:hint="default" w:ascii="Times New Roman" w:hAnsi="Times New Roman" w:eastAsia="仿宋" w:cs="Times New Roman"/>
          <w:b/>
          <w:sz w:val="24"/>
          <w:szCs w:val="24"/>
          <w:lang w:bidi="ar"/>
        </w:rPr>
        <w:t>满分100分，权重60%</w:t>
      </w:r>
      <w:r>
        <w:rPr>
          <w:rFonts w:hint="eastAsia" w:ascii="Times New Roman" w:hAnsi="Times New Roman" w:eastAsia="仿宋" w:cs="Times New Roman"/>
          <w:b/>
          <w:sz w:val="24"/>
          <w:szCs w:val="24"/>
          <w:lang w:eastAsia="zh-CN" w:bidi="ar"/>
        </w:rPr>
        <w:t>）</w:t>
      </w:r>
    </w:p>
    <w:p w14:paraId="494F1DEF">
      <w:pPr>
        <w:ind w:firstLine="480" w:firstLineChars="200"/>
        <w:rPr>
          <w:rFonts w:hint="default" w:ascii="Times New Roman" w:hAnsi="Times New Roman" w:eastAsia="仿宋" w:cs="Times New Roman"/>
          <w:sz w:val="24"/>
          <w:szCs w:val="24"/>
        </w:rPr>
      </w:pPr>
    </w:p>
    <w:tbl>
      <w:tblPr>
        <w:tblStyle w:val="6"/>
        <w:tblW w:w="87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710"/>
        <w:gridCol w:w="5040"/>
        <w:gridCol w:w="717"/>
      </w:tblGrid>
      <w:tr w14:paraId="3E8CE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D0EE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评分项目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155A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评分点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D186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评分标准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CE94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lang w:bidi="ar"/>
              </w:rPr>
              <w:t>满分</w:t>
            </w:r>
          </w:p>
        </w:tc>
      </w:tr>
      <w:tr w14:paraId="723C4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C3EA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5ECEA0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04B398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11935F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现场表现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029D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语言表达能力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B13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口齿清晰，适当的音量及恰当的语速。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B7ED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10</w:t>
            </w:r>
          </w:p>
        </w:tc>
      </w:tr>
      <w:tr w14:paraId="4E7F1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301D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FF07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身体语言与眼神交流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0E7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演讲期间具有良好的眼神交流，表现自信。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3FB5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10</w:t>
            </w:r>
          </w:p>
        </w:tc>
      </w:tr>
      <w:tr w14:paraId="2CE3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7882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0E99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PPT制作水准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86B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能准确把握主题，PPT界面风格统一、新颖。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1717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5</w:t>
            </w:r>
          </w:p>
        </w:tc>
      </w:tr>
      <w:tr w14:paraId="321A4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A40E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BDC3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重复性及时间控制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70E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表述简洁明了，在时间限制内完成演讲。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708F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5</w:t>
            </w:r>
          </w:p>
        </w:tc>
      </w:tr>
      <w:tr w14:paraId="58699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2BFB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FBA4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团队合作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EF8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团队成员分工明确，配合默契。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23E0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10</w:t>
            </w:r>
          </w:p>
        </w:tc>
      </w:tr>
      <w:tr w14:paraId="36CBD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B70C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45B6E9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15505C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专业水平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23B6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提问能力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46B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提出的问题具有一定深度和专业性。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86D7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10</w:t>
            </w:r>
          </w:p>
        </w:tc>
      </w:tr>
      <w:tr w14:paraId="64B97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576F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A2E7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应答能力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C8B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冷静、迅速回答问题，思路清晰、逻辑严谨、表达明了。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BF80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15</w:t>
            </w:r>
          </w:p>
        </w:tc>
      </w:tr>
      <w:tr w14:paraId="655CD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DD5B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39D0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方案可行性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FE7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方案经得起质疑和挑战。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709D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15</w:t>
            </w:r>
          </w:p>
        </w:tc>
      </w:tr>
      <w:tr w14:paraId="36D54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DD0E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7319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专业分析能力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1AB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能在现场答辩中运用公共管理 知识、理论和分析方法。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7035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bidi="ar"/>
              </w:rPr>
              <w:t>20</w:t>
            </w:r>
          </w:p>
        </w:tc>
      </w:tr>
    </w:tbl>
    <w:p w14:paraId="059D9C1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0" w:line="400" w:lineRule="exact"/>
        <w:ind w:right="83"/>
        <w:textAlignment w:val="baseline"/>
        <w:rPr>
          <w:rFonts w:hint="eastAsia" w:ascii="仿宋" w:hAnsi="仿宋" w:eastAsia="仿宋" w:cs="仿宋"/>
          <w:sz w:val="24"/>
          <w:szCs w:val="24"/>
          <w:highlight w:val="yellow"/>
        </w:rPr>
      </w:pPr>
    </w:p>
    <w:sectPr>
      <w:headerReference r:id="rId5" w:type="default"/>
      <w:footerReference r:id="rId6" w:type="default"/>
      <w:pgSz w:w="11906" w:h="16839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B6E7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64AB9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64AB9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F62B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dmY2VlMzJhZDNjOWMwYWE0YWI0NWE1NWUzNTExM2QifQ=="/>
    <w:docVar w:name="KSO_WPS_MARK_KEY" w:val="cf5e2931-c8a0-4b16-9c6c-06530d3725a6"/>
  </w:docVars>
  <w:rsids>
    <w:rsidRoot w:val="00000000"/>
    <w:rsid w:val="03562CE0"/>
    <w:rsid w:val="14D7043D"/>
    <w:rsid w:val="1EBC2425"/>
    <w:rsid w:val="21D10C1B"/>
    <w:rsid w:val="268C3DB9"/>
    <w:rsid w:val="30197FD5"/>
    <w:rsid w:val="3BAB7F62"/>
    <w:rsid w:val="3DFB217F"/>
    <w:rsid w:val="43BF39F3"/>
    <w:rsid w:val="44D744AA"/>
    <w:rsid w:val="465C0248"/>
    <w:rsid w:val="4BB3598B"/>
    <w:rsid w:val="53C119F3"/>
    <w:rsid w:val="5BEC60DC"/>
    <w:rsid w:val="5D977EE5"/>
    <w:rsid w:val="6A852615"/>
    <w:rsid w:val="6B56218A"/>
    <w:rsid w:val="6E3D7232"/>
    <w:rsid w:val="6F8762ED"/>
    <w:rsid w:val="7118715D"/>
    <w:rsid w:val="7E6655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542</Words>
  <Characters>559</Characters>
  <TotalTime>4</TotalTime>
  <ScaleCrop>false</ScaleCrop>
  <LinksUpToDate>false</LinksUpToDate>
  <CharactersWithSpaces>562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2024-09-10T16:59:00Z</dcterms:created>
  <dc:creator>Administrator</dc:creator>
  <cp:lastModifiedBy>Sakura</cp:lastModifiedBy>
  <dcterms:modified xsi:type="dcterms:W3CDTF">2026-09-07T02:07:30Z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2025-06-16T14:58:53Z</vt:filetime>
  </property>
  <property fmtid="{D5CDD505-2E9C-101B-9397-08002B2CF9AE}" pid="4" name="KSOProductBuildVer">
    <vt:lpwstr>2052-12.1.0.23542</vt:lpwstr>
  </property>
  <property fmtid="{D5CDD505-2E9C-101B-9397-08002B2CF9AE}" pid="5" name="ICV">
    <vt:lpwstr>1E5FE5773F7A418096CF34683D0F1968_13</vt:lpwstr>
  </property>
  <property fmtid="{D5CDD505-2E9C-101B-9397-08002B2CF9AE}" pid="6" name="KSOTemplateDocerSaveRecord">
    <vt:lpwstr>eyJoZGlkIjoiYjU2MzJhZDllMzY3MzFiYjIzZTcxZjlhYjM0M2NmMzMifQ==</vt:lpwstr>
  </property>
</Properties>
</file>